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F60F8" w14:textId="77777777" w:rsidR="00B136D6" w:rsidRDefault="004226D6">
      <w:pPr>
        <w:pStyle w:val="ReportTitle"/>
      </w:pPr>
      <w:r>
        <w:t>Transportvaner</w:t>
      </w:r>
    </w:p>
    <w:p w14:paraId="7B57BBEB" w14:textId="77777777" w:rsidR="00B136D6" w:rsidRDefault="004226D6">
      <w:pPr>
        <w:pStyle w:val="ReportSubtitle"/>
      </w:pPr>
      <w:r>
        <w:t>Standardrapport</w:t>
      </w:r>
    </w:p>
    <w:p w14:paraId="19C51B12" w14:textId="77777777" w:rsidR="00B136D6" w:rsidRDefault="004226D6">
      <w:pPr>
        <w:pStyle w:val="QuestionText"/>
      </w:pPr>
      <w:r>
        <w:t>Alder</w:t>
      </w:r>
      <w:bookmarkStart w:id="0" w:name="_GoBack"/>
      <w:bookmarkEnd w:id="0"/>
    </w:p>
    <w:p w14:paraId="39AC2EA6" w14:textId="77777777" w:rsidR="00B136D6" w:rsidRDefault="004226D6">
      <w:pPr>
        <w:spacing w:before="40"/>
      </w:pPr>
      <w:r>
        <w:rPr>
          <w:b/>
          <w:noProof/>
          <w:sz w:val="24"/>
          <w:lang w:val="en-US"/>
        </w:rPr>
        <w:drawing>
          <wp:inline distT="0" distB="0" distL="0" distR="0" wp14:anchorId="55C11CBE" wp14:editId="6C788022">
            <wp:extent cx="5400000" cy="2880000"/>
            <wp:effectExtent l="0" t="0" r="25400" b="2540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EAC371" w14:textId="77777777" w:rsidR="00B136D6" w:rsidRDefault="004226D6">
      <w:pPr>
        <w:pStyle w:val="QuestionText"/>
      </w:pPr>
      <w:r>
        <w:t>Hvor mange ganger har du brukt følgende kollektive transportmidler de siste 30 dagene?</w:t>
      </w:r>
    </w:p>
    <w:p w14:paraId="4E58B099" w14:textId="77777777" w:rsidR="00B136D6" w:rsidRDefault="004226D6">
      <w:pPr>
        <w:spacing w:before="40"/>
      </w:pPr>
      <w:r>
        <w:rPr>
          <w:b/>
          <w:noProof/>
          <w:sz w:val="24"/>
          <w:lang w:val="en-US"/>
        </w:rPr>
        <w:drawing>
          <wp:inline distT="0" distB="0" distL="0" distR="0" wp14:anchorId="3BDF913C" wp14:editId="2EEF47EF">
            <wp:extent cx="5400000" cy="2880000"/>
            <wp:effectExtent l="0" t="0" r="25400" b="2540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B7BC2A9" w14:textId="77777777" w:rsidR="00B136D6" w:rsidRDefault="004226D6">
      <w:pPr>
        <w:pStyle w:val="QuestionText"/>
      </w:pPr>
      <w:r>
        <w:lastRenderedPageBreak/>
        <w:t>Hvordan har du betalt for kollektivreisene de siste 30 dagene?</w:t>
      </w:r>
    </w:p>
    <w:p w14:paraId="15E7A883" w14:textId="77777777" w:rsidR="00B136D6" w:rsidRDefault="004226D6">
      <w:pPr>
        <w:spacing w:before="40"/>
      </w:pPr>
      <w:r>
        <w:rPr>
          <w:b/>
          <w:noProof/>
          <w:sz w:val="24"/>
          <w:lang w:val="en-US"/>
        </w:rPr>
        <w:drawing>
          <wp:inline distT="0" distB="0" distL="0" distR="0" wp14:anchorId="6F607536" wp14:editId="627D95D2">
            <wp:extent cx="5400000" cy="2880000"/>
            <wp:effectExtent l="0" t="0" r="25400" b="2540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385844" w14:textId="77777777" w:rsidR="00B136D6" w:rsidRDefault="004226D6">
      <w:pPr>
        <w:pStyle w:val="QuestionText"/>
      </w:pPr>
      <w:r>
        <w:t>I hvor stor grad vil hvert av følgende tiltak øke din bruk av kolllektivtransport?</w:t>
      </w:r>
    </w:p>
    <w:p w14:paraId="539F2F20" w14:textId="77777777" w:rsidR="00B136D6" w:rsidRDefault="004226D6">
      <w:pPr>
        <w:spacing w:before="40"/>
      </w:pPr>
      <w:r>
        <w:rPr>
          <w:b/>
          <w:noProof/>
          <w:sz w:val="24"/>
          <w:lang w:val="en-US"/>
        </w:rPr>
        <w:drawing>
          <wp:inline distT="0" distB="0" distL="0" distR="0" wp14:anchorId="06E98736" wp14:editId="47F4E800">
            <wp:extent cx="5400000" cy="2880000"/>
            <wp:effectExtent l="0" t="0" r="25400" b="25400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B136D6"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83FDC" w14:textId="77777777" w:rsidR="0089712A" w:rsidRDefault="004226D6">
      <w:r>
        <w:separator/>
      </w:r>
    </w:p>
  </w:endnote>
  <w:endnote w:type="continuationSeparator" w:id="0">
    <w:p w14:paraId="46B995FF" w14:textId="77777777" w:rsidR="0089712A" w:rsidRDefault="0042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√î¬∫‚â†√î¬∫‚â• √ä√≤√©√ä√∫√π">
    <w:panose1 w:val="00000000000000000000"/>
    <w:charset w:val="00"/>
    <w:family w:val="roman"/>
    <w:notTrueType/>
    <w:pitch w:val="default"/>
  </w:font>
  <w:font w:name="√î¬∫‚â†√î¬∫‚â• ‚Äû√á¬•‚Äû√á‚àë‚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50404" w14:textId="77777777" w:rsidR="009E20D6" w:rsidRDefault="004226D6">
    <w:r>
      <w:t>Generert 17.08.2011 av</w:t>
    </w:r>
  </w:p>
  <w:p w14:paraId="2677FB26" w14:textId="77777777" w:rsidR="009E20D6" w:rsidRDefault="004226D6">
    <w:r>
      <w:rPr>
        <w:noProof/>
        <w:lang w:val="en-US"/>
      </w:rPr>
      <w:drawing>
        <wp:inline distT="0" distB="0" distL="0" distR="0" wp14:anchorId="54075DCC" wp14:editId="39A640B6">
          <wp:extent cx="916728" cy="197855"/>
          <wp:effectExtent l="0" t="0" r="0" b="5715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728" cy="19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297C" w14:textId="77777777" w:rsidR="0089712A" w:rsidRDefault="004226D6">
      <w:r>
        <w:separator/>
      </w:r>
    </w:p>
  </w:footnote>
  <w:footnote w:type="continuationSeparator" w:id="0">
    <w:p w14:paraId="2F3F0A88" w14:textId="77777777" w:rsidR="0089712A" w:rsidRDefault="00422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6CF6"/>
    <w:multiLevelType w:val="hybridMultilevel"/>
    <w:tmpl w:val="D3144CB4"/>
    <w:lvl w:ilvl="0" w:tplc="04090001">
      <w:start w:val="1"/>
      <w:numFmt w:val="bullet"/>
      <w:lvlText w:val="-"/>
      <w:lvlJc w:val="left"/>
      <w:pPr>
        <w:ind w:left="200" w:hanging="2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-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-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-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-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ÔÇß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6D6"/>
    <w:rsid w:val="004226D6"/>
    <w:rsid w:val="00474B10"/>
    <w:rsid w:val="0089712A"/>
    <w:rsid w:val="00B1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6AD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ReportTitle">
    <w:name w:val="ReportTitle"/>
    <w:qFormat/>
    <w:pPr>
      <w:pBdr>
        <w:bottom w:val="single" w:sz="8" w:space="4" w:color="4F81BD" w:themeColor="accent1"/>
      </w:pBdr>
      <w:spacing w:after="200"/>
      <w:contextualSpacing/>
    </w:pPr>
    <w:rPr>
      <w:color w:val="000000"/>
      <w:spacing w:val="5"/>
      <w:sz w:val="40"/>
    </w:rPr>
  </w:style>
  <w:style w:type="paragraph" w:customStyle="1" w:styleId="ReportSubtitle">
    <w:name w:val="ReportSubtitle"/>
    <w:qFormat/>
    <w:pPr>
      <w:numPr>
        <w:ilvl w:val="1"/>
      </w:numPr>
    </w:pPr>
    <w:rPr>
      <w:i/>
      <w:color w:val="4F81BD" w:themeColor="accent1"/>
      <w:spacing w:val="15"/>
    </w:rPr>
  </w:style>
  <w:style w:type="paragraph" w:customStyle="1" w:styleId="QuestionText">
    <w:name w:val="QuestionText"/>
    <w:qFormat/>
    <w:pPr>
      <w:keepNext/>
      <w:keepLines/>
      <w:pBdr>
        <w:bottom w:val="single" w:sz="8" w:space="4" w:color="4F81BD" w:themeColor="accent1"/>
      </w:pBdr>
      <w:spacing w:before="500" w:after="300"/>
    </w:pPr>
    <w:rPr>
      <w:b/>
      <w:sz w:val="24"/>
    </w:rPr>
  </w:style>
  <w:style w:type="paragraph" w:customStyle="1" w:styleId="QuestionSubtext">
    <w:name w:val="QuestionSubtext"/>
    <w:qFormat/>
    <w:pPr>
      <w:keepNext/>
      <w:keepLines/>
      <w:spacing w:after="300"/>
    </w:pPr>
    <w:rPr>
      <w:i/>
    </w:rPr>
  </w:style>
  <w:style w:type="table" w:customStyle="1" w:styleId="Resulttable">
    <w:name w:val="Resulttable"/>
    <w:pPr>
      <w:keepLines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AAD3FF"/>
      </w:tcPr>
    </w:tblStylePr>
    <w:tblStylePr w:type="lastRow">
      <w:tblPr/>
      <w:tcPr>
        <w:tcBorders>
          <w:top w:val="double" w:sz="8" w:space="0" w:color="000000"/>
        </w:tcBorders>
        <w:shd w:val="clear" w:color="auto" w:fill="AAD3FF"/>
      </w:tcPr>
    </w:tblStylePr>
    <w:tblStylePr w:type="firstCol">
      <w:tblPr/>
      <w:tcPr>
        <w:shd w:val="clear" w:color="auto" w:fill="AAD3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EEEEE"/>
      </w:tcPr>
    </w:tblStylePr>
    <w:tblStylePr w:type="band1Horz">
      <w:tblPr/>
      <w:tcPr>
        <w:shd w:val="clear" w:color="auto" w:fill="EEEEEE"/>
      </w:tcPr>
    </w:tblStylePr>
  </w:style>
  <w:style w:type="paragraph" w:customStyle="1" w:styleId="CommentHeader">
    <w:name w:val="CommentHeader"/>
    <w:qFormat/>
    <w:rPr>
      <w:i/>
    </w:rPr>
  </w:style>
  <w:style w:type="paragraph" w:styleId="Listeavsnitt">
    <w:name w:val="List Paragraph"/>
    <w:uiPriority w:val="34"/>
    <w:qFormat/>
    <w:rsid w:val="007C7CB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226D6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26D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4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hart" Target="charts/chart1.xml"/><Relationship Id="rId9" Type="http://schemas.openxmlformats.org/officeDocument/2006/relationships/chart" Target="charts/chart2.xml"/><Relationship Id="rId10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k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Antall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20 år eller yngre</c:v>
                </c:pt>
                <c:pt idx="1">
                  <c:v>21-40 år</c:v>
                </c:pt>
                <c:pt idx="2">
                  <c:v>41-60 år</c:v>
                </c:pt>
                <c:pt idx="3">
                  <c:v>61 år eller eldre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12.0</c:v>
                </c:pt>
                <c:pt idx="1">
                  <c:v>25.0</c:v>
                </c:pt>
                <c:pt idx="2">
                  <c:v>12.0</c:v>
                </c:pt>
                <c:pt idx="3">
                  <c:v>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nb-N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Tog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0-5 ganger</c:v>
                </c:pt>
                <c:pt idx="1">
                  <c:v>6-10 ganger</c:v>
                </c:pt>
                <c:pt idx="2">
                  <c:v>11-15 ganger</c:v>
                </c:pt>
                <c:pt idx="3">
                  <c:v>16 ganger eller mer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39.0</c:v>
                </c:pt>
                <c:pt idx="1">
                  <c:v>10.0</c:v>
                </c:pt>
                <c:pt idx="2">
                  <c:v>2.0</c:v>
                </c:pt>
                <c:pt idx="3">
                  <c:v>1.0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Buss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0-5 ganger</c:v>
                </c:pt>
                <c:pt idx="1">
                  <c:v>6-10 ganger</c:v>
                </c:pt>
                <c:pt idx="2">
                  <c:v>11-15 ganger</c:v>
                </c:pt>
                <c:pt idx="3">
                  <c:v>16 ganger eller mer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35.0</c:v>
                </c:pt>
                <c:pt idx="1">
                  <c:v>8.0</c:v>
                </c:pt>
                <c:pt idx="2">
                  <c:v>4.0</c:v>
                </c:pt>
                <c:pt idx="3">
                  <c:v>1.0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T-bane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0-5 ganger</c:v>
                </c:pt>
                <c:pt idx="1">
                  <c:v>6-10 ganger</c:v>
                </c:pt>
                <c:pt idx="2">
                  <c:v>11-15 ganger</c:v>
                </c:pt>
                <c:pt idx="3">
                  <c:v>16 ganger eller mer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37.0</c:v>
                </c:pt>
                <c:pt idx="1">
                  <c:v>7.0</c:v>
                </c:pt>
                <c:pt idx="2">
                  <c:v>5.0</c:v>
                </c:pt>
                <c:pt idx="3">
                  <c:v>2.0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Trikk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0-5 ganger</c:v>
                </c:pt>
                <c:pt idx="1">
                  <c:v>6-10 ganger</c:v>
                </c:pt>
                <c:pt idx="2">
                  <c:v>11-15 ganger</c:v>
                </c:pt>
                <c:pt idx="3">
                  <c:v>16 ganger eller mer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35.0</c:v>
                </c:pt>
                <c:pt idx="1">
                  <c:v>5.0</c:v>
                </c:pt>
                <c:pt idx="2">
                  <c:v>6.0</c:v>
                </c:pt>
                <c:pt idx="3">
                  <c:v>4.0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9967688"/>
        <c:axId val="1770792"/>
      </c:barChart>
      <c:catAx>
        <c:axId val="5299676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nb-NO"/>
          </a:p>
        </c:txPr>
        <c:crossAx val="1770792"/>
        <c:crosses val="autoZero"/>
        <c:auto val="1"/>
        <c:lblAlgn val="ctr"/>
        <c:lblOffset val="100"/>
        <c:noMultiLvlLbl val="0"/>
      </c:catAx>
      <c:valAx>
        <c:axId val="1770792"/>
        <c:scaling>
          <c:orientation val="minMax"/>
          <c:max val="39.0"/>
          <c:min val="0.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nb-NO"/>
                  <a:t>Antall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529967688"/>
        <c:crosses val="autoZero"/>
        <c:crossBetween val="between"/>
        <c:majorUnit val="7.0"/>
        <c:minorUnit val="0.0"/>
      </c:valAx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nb-N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Antall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Månedskort</c:v>
                </c:pt>
                <c:pt idx="1">
                  <c:v>Ukeskort</c:v>
                </c:pt>
                <c:pt idx="2">
                  <c:v>Klippekort</c:v>
                </c:pt>
                <c:pt idx="3">
                  <c:v>Enkeltbilletter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13.0</c:v>
                </c:pt>
                <c:pt idx="1">
                  <c:v>14.0</c:v>
                </c:pt>
                <c:pt idx="2">
                  <c:v>10.0</c:v>
                </c:pt>
                <c:pt idx="3">
                  <c:v>26.0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5963560"/>
        <c:axId val="505713064"/>
      </c:barChart>
      <c:catAx>
        <c:axId val="505963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nb-NO"/>
          </a:p>
        </c:txPr>
        <c:crossAx val="505713064"/>
        <c:crosses val="autoZero"/>
        <c:auto val="1"/>
        <c:lblAlgn val="ctr"/>
        <c:lblOffset val="100"/>
        <c:noMultiLvlLbl val="0"/>
      </c:catAx>
      <c:valAx>
        <c:axId val="505713064"/>
        <c:scaling>
          <c:orientation val="minMax"/>
          <c:max val="26.0"/>
          <c:min val="0.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nb-NO"/>
                  <a:t>Antall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505963560"/>
        <c:crosses val="autoZero"/>
        <c:crossBetween val="between"/>
        <c:majorUnit val="5.0"/>
        <c:minorUnit val="0.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Billigere kollektivreiser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34.0</c:v>
                </c:pt>
                <c:pt idx="1">
                  <c:v>10.0</c:v>
                </c:pt>
                <c:pt idx="2">
                  <c:v>5.0</c:v>
                </c:pt>
                <c:pt idx="3">
                  <c:v>2.0</c:v>
                </c:pt>
                <c:pt idx="4">
                  <c:v>3.0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Hyppigere kollektivavganger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18.0</c:v>
                </c:pt>
                <c:pt idx="1">
                  <c:v>14.0</c:v>
                </c:pt>
                <c:pt idx="2">
                  <c:v>16.0</c:v>
                </c:pt>
                <c:pt idx="3">
                  <c:v>5.0</c:v>
                </c:pt>
                <c:pt idx="4">
                  <c:v>1.0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Mer komfortable kollektivreiser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20.0</c:v>
                </c:pt>
                <c:pt idx="1">
                  <c:v>9.0</c:v>
                </c:pt>
                <c:pt idx="2">
                  <c:v>18.0</c:v>
                </c:pt>
                <c:pt idx="3">
                  <c:v>6.0</c:v>
                </c:pt>
                <c:pt idx="4">
                  <c:v>1.0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Færre forsinkelser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18.0</c:v>
                </c:pt>
                <c:pt idx="1">
                  <c:v>15.0</c:v>
                </c:pt>
                <c:pt idx="2">
                  <c:v>11.0</c:v>
                </c:pt>
                <c:pt idx="3">
                  <c:v>9.0</c:v>
                </c:pt>
                <c:pt idx="4">
                  <c:v>1.0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Kortere avstand fra hjem/jobb til nærmeste hollektivholdeplass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0">
                  <c:v>13.0</c:v>
                </c:pt>
                <c:pt idx="1">
                  <c:v>17.0</c:v>
                </c:pt>
                <c:pt idx="2">
                  <c:v>16.0</c:v>
                </c:pt>
                <c:pt idx="3">
                  <c:v>5.0</c:v>
                </c:pt>
                <c:pt idx="4">
                  <c:v>3.0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Raskere reisetid med kollektivtrafikk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Sheet1!$G$2:$G$6</c:f>
              <c:numCache>
                <c:formatCode>General</c:formatCode>
                <c:ptCount val="5"/>
                <c:pt idx="0">
                  <c:v>17.0</c:v>
                </c:pt>
                <c:pt idx="1">
                  <c:v>14.0</c:v>
                </c:pt>
                <c:pt idx="2">
                  <c:v>13.0</c:v>
                </c:pt>
                <c:pt idx="3">
                  <c:v>5.0</c:v>
                </c:pt>
                <c:pt idx="4">
                  <c:v>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0263784"/>
        <c:axId val="1791112"/>
      </c:barChart>
      <c:catAx>
        <c:axId val="5302637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nb-NO"/>
          </a:p>
        </c:txPr>
        <c:crossAx val="1791112"/>
        <c:crosses val="autoZero"/>
        <c:auto val="1"/>
        <c:lblAlgn val="ctr"/>
        <c:lblOffset val="100"/>
        <c:noMultiLvlLbl val="0"/>
      </c:catAx>
      <c:valAx>
        <c:axId val="1791112"/>
        <c:scaling>
          <c:orientation val="minMax"/>
          <c:max val="34.0"/>
          <c:min val="0.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nb-NO"/>
                  <a:t>Antall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530263784"/>
        <c:crosses val="autoZero"/>
        <c:crossBetween val="between"/>
        <c:majorUnit val="6.0"/>
        <c:minorUnit val="0.0"/>
      </c:valAx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nb-N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√î¬∫‚â†√î¬∫‚â• ‚Äû√á¬•‚Äû√á‚àë‚Äû√â√â‚Äû√á√ò"/>
        <a:font script="Hang" typeface="√é√ü√´√è√π√Ñ √ç‚â•‚Ä†√é√Æ√Ø"/>
        <a:font script="Hans" typeface="√Ç√Ü√£‚Ä∞Œ©√¨"/>
        <a:font script="Hant" typeface="√ä√±‚àû√Å¬•‚àû√ä√≤√©√à¬¥√Æ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√î¬∫‚â†√î¬∫‚â• √ä√≤√©√ä√∫√π"/>
        <a:font script="Hang" typeface="√é√ü√´√è√π√Ñ √ç‚â•‚Ä†√é√Æ√Ø"/>
        <a:font script="Hans" typeface="√Ç√Ü√£‚Ä∞Œ©√¨"/>
        <a:font script="Hant" typeface="√ä√±‚àû√Å¬•‚àû√ä√≤√©√à¬¥√Æ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234</Characters>
  <Application>Microsoft Macintosh Word</Application>
  <DocSecurity>0</DocSecurity>
  <Lines>1</Lines>
  <Paragraphs>1</Paragraphs>
  <ScaleCrop>false</ScaleCrop>
  <Company>Easyfact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 Kjønnøy</cp:lastModifiedBy>
  <cp:revision>3</cp:revision>
  <dcterms:created xsi:type="dcterms:W3CDTF">2011-08-17T08:58:00Z</dcterms:created>
  <dcterms:modified xsi:type="dcterms:W3CDTF">2011-08-17T09:07:00Z</dcterms:modified>
</cp:coreProperties>
</file>